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A79B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p w14:paraId="6C7ECBBC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p w14:paraId="575AD0D3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p w14:paraId="520A0D49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p w14:paraId="66AC932B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p w14:paraId="0596B6CF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p w14:paraId="01EFE30B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p w14:paraId="6AE5C72E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Kids for Kids: Mature Minor Consent</w:t>
      </w:r>
    </w:p>
    <w:p w14:paraId="0C1713AC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Jillian McInnes T00262193</w:t>
      </w:r>
    </w:p>
    <w:p w14:paraId="6C5A5D5C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Jakob Reid T00667316 </w:t>
      </w:r>
    </w:p>
    <w:p w14:paraId="61BC953F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Kristin Caktas T00668228</w:t>
      </w:r>
    </w:p>
    <w:p w14:paraId="1AB67146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Shivani Nambiar T00584223</w:t>
      </w:r>
    </w:p>
    <w:p w14:paraId="642446AC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Thompson Rivers University: School of Nursing</w:t>
      </w:r>
    </w:p>
    <w:p w14:paraId="5EB80FD2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NURS 4740: Health Situations in Complexity</w:t>
      </w:r>
    </w:p>
    <w:p w14:paraId="5643D53D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Dr. </w:t>
      </w:r>
      <w:proofErr w:type="spellStart"/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Anila</w:t>
      </w:r>
      <w:proofErr w:type="spellEnd"/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Vrani</w:t>
      </w:r>
      <w:proofErr w:type="spellEnd"/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PhD, RN, BScN, MN</w:t>
      </w:r>
    </w:p>
    <w:p w14:paraId="035858DC" w14:textId="4EA28FF4" w:rsidR="00561162" w:rsidRPr="00561162" w:rsidRDefault="00717386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October 13</w:t>
      </w:r>
      <w:r w:rsidRPr="00717386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th</w:t>
      </w:r>
      <w:r w:rsidR="00561162"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2023</w:t>
      </w:r>
    </w:p>
    <w:p w14:paraId="6F559F46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42CC38D7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2FAD660D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2A30C150" w14:textId="77777777" w:rsidR="00561162" w:rsidRPr="00561162" w:rsidRDefault="00561162" w:rsidP="0056116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74E392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3E4B12C9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74D3A983" w14:textId="77777777" w:rsidR="00D71A29" w:rsidRDefault="00D71A29" w:rsidP="00561162">
      <w:pPr>
        <w:spacing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11C6C14" w14:textId="5AEA97F0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1A6B2AE9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References</w:t>
      </w:r>
    </w:p>
    <w:p w14:paraId="452EB009" w14:textId="77777777" w:rsidR="00F44383" w:rsidRDefault="00F44383" w:rsidP="00F44383">
      <w:pPr>
        <w:pStyle w:val="NormalWeb"/>
        <w:spacing w:before="0" w:beforeAutospacing="0" w:after="0" w:afterAutospacing="0" w:line="480" w:lineRule="auto"/>
        <w:ind w:left="720" w:hanging="720"/>
      </w:pPr>
      <w:r>
        <w:rPr>
          <w:color w:val="000000"/>
        </w:rPr>
        <w:t xml:space="preserve">1.BCCDC. (2022, July). </w:t>
      </w:r>
      <w:r>
        <w:rPr>
          <w:i/>
          <w:iCs/>
          <w:color w:val="000000"/>
        </w:rPr>
        <w:t>Communicable Disease Control Manual Chapter 2: Immunization Appendix A -Informed Consent for Immunization</w:t>
      </w:r>
      <w:r>
        <w:rPr>
          <w:color w:val="000000"/>
        </w:rPr>
        <w:t>. Provincial Health Services Authority. ​​</w:t>
      </w:r>
      <w:hyperlink r:id="rId4" w:history="1">
        <w:r>
          <w:rPr>
            <w:rStyle w:val="Hyperlink"/>
            <w:color w:val="1155CC"/>
          </w:rPr>
          <w:t>http://www.bccdc.ca/resource-gallery/Documents/Guidelines%20and%20Forms/Guidelines%20and%20Manuals/Epid/CD%20Manual/Chapter%202%20-%20Imms/Appendix_A_InformedConsent.pdf</w:t>
        </w:r>
      </w:hyperlink>
    </w:p>
    <w:p w14:paraId="2B242DAD" w14:textId="77777777" w:rsidR="00F44383" w:rsidRDefault="00F44383" w:rsidP="00F44383">
      <w:pPr>
        <w:pStyle w:val="NormalWeb"/>
        <w:spacing w:before="0" w:beforeAutospacing="0" w:after="0" w:afterAutospacing="0" w:line="480" w:lineRule="auto"/>
        <w:ind w:left="720" w:hanging="720"/>
      </w:pPr>
      <w:r>
        <w:rPr>
          <w:color w:val="000000"/>
        </w:rPr>
        <w:t>2.Boceta, R., Martínez-</w:t>
      </w:r>
      <w:proofErr w:type="spellStart"/>
      <w:r>
        <w:rPr>
          <w:color w:val="000000"/>
        </w:rPr>
        <w:t>Casares</w:t>
      </w:r>
      <w:proofErr w:type="spellEnd"/>
      <w:r>
        <w:rPr>
          <w:color w:val="000000"/>
        </w:rPr>
        <w:t xml:space="preserve">, O., &amp; Albert, M. (2021). The informed consent in the mature minor: Understanding and decision-making capacity. </w:t>
      </w:r>
      <w:proofErr w:type="spellStart"/>
      <w:r>
        <w:rPr>
          <w:i/>
          <w:iCs/>
          <w:color w:val="000000"/>
        </w:rPr>
        <w:t>Anales</w:t>
      </w:r>
      <w:proofErr w:type="spellEnd"/>
      <w:r>
        <w:rPr>
          <w:i/>
          <w:iCs/>
          <w:color w:val="000000"/>
        </w:rPr>
        <w:t xml:space="preserve"> de </w:t>
      </w:r>
      <w:proofErr w:type="spellStart"/>
      <w:r>
        <w:rPr>
          <w:i/>
          <w:iCs/>
          <w:color w:val="000000"/>
        </w:rPr>
        <w:t>Pediatría</w:t>
      </w:r>
      <w:proofErr w:type="spellEnd"/>
      <w:r>
        <w:rPr>
          <w:i/>
          <w:iCs/>
          <w:color w:val="000000"/>
        </w:rPr>
        <w:t xml:space="preserve"> (English Edition)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95</w:t>
      </w:r>
      <w:r>
        <w:rPr>
          <w:color w:val="000000"/>
        </w:rPr>
        <w:t>(6), 413–422. https://doi.org/10.1016/j.anpede.2020.10.011</w:t>
      </w:r>
    </w:p>
    <w:p w14:paraId="25F9089C" w14:textId="77777777" w:rsidR="00F44383" w:rsidRDefault="00F44383" w:rsidP="00F44383">
      <w:pPr>
        <w:pStyle w:val="NormalWeb"/>
        <w:spacing w:before="0" w:beforeAutospacing="0" w:after="0" w:afterAutospacing="0" w:line="480" w:lineRule="auto"/>
        <w:ind w:left="720" w:hanging="720"/>
      </w:pPr>
      <w:r>
        <w:rPr>
          <w:color w:val="000000"/>
        </w:rPr>
        <w:t xml:space="preserve">3.Coughlin, K. W. (2018). Medical decision-making in paediatrics: Infancy to adolescence. </w:t>
      </w:r>
      <w:r>
        <w:rPr>
          <w:i/>
          <w:iCs/>
          <w:color w:val="000000"/>
        </w:rPr>
        <w:t>Paediatrics &amp; Child Health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23</w:t>
      </w:r>
      <w:r>
        <w:rPr>
          <w:color w:val="000000"/>
        </w:rPr>
        <w:t>(2), 138–146.</w:t>
      </w:r>
      <w:hyperlink r:id="rId5" w:history="1">
        <w:r>
          <w:rPr>
            <w:rStyle w:val="Hyperlink"/>
            <w:color w:val="000000"/>
          </w:rPr>
          <w:t xml:space="preserve"> </w:t>
        </w:r>
        <w:r>
          <w:rPr>
            <w:rStyle w:val="Hyperlink"/>
            <w:color w:val="0563C1"/>
          </w:rPr>
          <w:t>https://doi.org/10.1093/pch/pxx127</w:t>
        </w:r>
      </w:hyperlink>
    </w:p>
    <w:p w14:paraId="5DCC1C71" w14:textId="77777777" w:rsidR="00F44383" w:rsidRDefault="00F44383" w:rsidP="00F44383">
      <w:pPr>
        <w:pStyle w:val="NormalWeb"/>
        <w:spacing w:before="0" w:beforeAutospacing="0" w:after="0" w:afterAutospacing="0" w:line="480" w:lineRule="auto"/>
        <w:ind w:left="720" w:hanging="720"/>
      </w:pPr>
      <w:r>
        <w:rPr>
          <w:color w:val="000000"/>
        </w:rPr>
        <w:t xml:space="preserve">4.Department of Justice Canada. (2023, February 02). </w:t>
      </w:r>
      <w:r>
        <w:rPr>
          <w:i/>
          <w:iCs/>
          <w:color w:val="000000"/>
        </w:rPr>
        <w:t>Department of Justice - Article 12 of the Convention on the Rights of the Child and Children’s Participatory Rights in Canada</w:t>
      </w:r>
      <w:r>
        <w:rPr>
          <w:color w:val="000000"/>
        </w:rPr>
        <w:t xml:space="preserve">. Government of Canada. </w:t>
      </w:r>
      <w:hyperlink r:id="rId6" w:history="1">
        <w:r>
          <w:rPr>
            <w:rStyle w:val="Hyperlink"/>
            <w:color w:val="1155CC"/>
          </w:rPr>
          <w:t>https://www.justice.gc.ca/eng/rp-pr/other-autre/article12/p3a.html</w:t>
        </w:r>
      </w:hyperlink>
    </w:p>
    <w:p w14:paraId="7A6BF7BC" w14:textId="77777777" w:rsidR="00F44383" w:rsidRDefault="00F44383" w:rsidP="00F44383">
      <w:pPr>
        <w:pStyle w:val="NormalWeb"/>
        <w:spacing w:before="0" w:beforeAutospacing="0" w:after="0" w:afterAutospacing="0" w:line="480" w:lineRule="auto"/>
        <w:ind w:left="720" w:hanging="720"/>
      </w:pPr>
      <w:r>
        <w:rPr>
          <w:i/>
          <w:iCs/>
          <w:color w:val="000000"/>
        </w:rPr>
        <w:t>5.</w:t>
      </w:r>
      <w:r>
        <w:rPr>
          <w:color w:val="000000"/>
        </w:rPr>
        <w:t xml:space="preserve">HealthLinkBC. (2022). </w:t>
      </w:r>
      <w:r>
        <w:rPr>
          <w:i/>
          <w:iCs/>
          <w:color w:val="000000"/>
        </w:rPr>
        <w:t>The Infants Act, Mature Minor Consent and Immunization</w:t>
      </w:r>
      <w:r>
        <w:rPr>
          <w:color w:val="000000"/>
        </w:rPr>
        <w:t>. https://www.healthlinkbc.ca/sites/default/files/documents/hfile119.pdf</w:t>
      </w:r>
    </w:p>
    <w:p w14:paraId="1B0BDB97" w14:textId="77777777" w:rsidR="00F44383" w:rsidRDefault="00F44383" w:rsidP="00F44383">
      <w:pPr>
        <w:pStyle w:val="NormalWeb"/>
        <w:spacing w:before="0" w:beforeAutospacing="0" w:after="0" w:afterAutospacing="0" w:line="480" w:lineRule="auto"/>
        <w:ind w:left="720" w:hanging="720"/>
      </w:pPr>
      <w:r>
        <w:rPr>
          <w:i/>
          <w:iCs/>
          <w:color w:val="000000"/>
        </w:rPr>
        <w:t>6.</w:t>
      </w:r>
      <w:r>
        <w:rPr>
          <w:color w:val="000000"/>
        </w:rPr>
        <w:t xml:space="preserve">Immunize BC. (2017, November 17). </w:t>
      </w:r>
      <w:r>
        <w:rPr>
          <w:i/>
          <w:iCs/>
          <w:color w:val="000000"/>
        </w:rPr>
        <w:t>Consent for immunization</w:t>
      </w:r>
      <w:r>
        <w:rPr>
          <w:color w:val="000000"/>
        </w:rPr>
        <w:t>. https://immunizebc.ca/immunization-basics/consent#:~:text=Mature%20minor%20consent</w:t>
      </w:r>
    </w:p>
    <w:p w14:paraId="30F3DFBC" w14:textId="77777777" w:rsidR="00F44383" w:rsidRDefault="00F44383" w:rsidP="00F44383">
      <w:pPr>
        <w:pStyle w:val="NormalWeb"/>
        <w:spacing w:before="0" w:beforeAutospacing="0" w:after="0" w:afterAutospacing="0" w:line="480" w:lineRule="auto"/>
        <w:ind w:left="720" w:hanging="720"/>
      </w:pPr>
      <w:r>
        <w:rPr>
          <w:color w:val="000000"/>
        </w:rPr>
        <w:t xml:space="preserve">7.NHS. (2022, December 08). </w:t>
      </w:r>
      <w:r>
        <w:rPr>
          <w:i/>
          <w:iCs/>
          <w:color w:val="000000"/>
        </w:rPr>
        <w:t>Assessing capacity - consent to treatment</w:t>
      </w:r>
      <w:r>
        <w:rPr>
          <w:color w:val="000000"/>
        </w:rPr>
        <w:t>. https://www.nhs.uk/conditions/consent-to-treatment/capacity/</w:t>
      </w:r>
    </w:p>
    <w:p w14:paraId="16DB0BC3" w14:textId="77777777" w:rsidR="00F44383" w:rsidRDefault="00F44383" w:rsidP="00F44383">
      <w:pPr>
        <w:pStyle w:val="NormalWeb"/>
        <w:spacing w:before="0" w:beforeAutospacing="0" w:after="0" w:afterAutospacing="0" w:line="480" w:lineRule="auto"/>
        <w:ind w:left="720" w:hanging="720"/>
      </w:pPr>
      <w:r>
        <w:rPr>
          <w:color w:val="000000"/>
        </w:rPr>
        <w:lastRenderedPageBreak/>
        <w:t xml:space="preserve">8.Schwartz, Y., Williams, T. S., Roberts, S. D., Hellmann, J., &amp; </w:t>
      </w:r>
      <w:proofErr w:type="spellStart"/>
      <w:r>
        <w:rPr>
          <w:color w:val="000000"/>
        </w:rPr>
        <w:t>Zlotnik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Shaul</w:t>
      </w:r>
      <w:proofErr w:type="spellEnd"/>
      <w:r>
        <w:rPr>
          <w:color w:val="000000"/>
        </w:rPr>
        <w:t xml:space="preserve">, R. (2018). Adolescent decision-making in Canadian medical contexts: Integrating neuroscience and consent frameworks. </w:t>
      </w:r>
      <w:r>
        <w:rPr>
          <w:i/>
          <w:iCs/>
          <w:color w:val="000000"/>
        </w:rPr>
        <w:t>Paediatrics &amp; Child Health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23</w:t>
      </w:r>
      <w:r>
        <w:rPr>
          <w:color w:val="000000"/>
        </w:rPr>
        <w:t>(6), 374–376. https://doi.org/10.1093/pch/pxy037</w:t>
      </w:r>
    </w:p>
    <w:p w14:paraId="6C5EF0DC" w14:textId="77777777" w:rsidR="00F44383" w:rsidRDefault="00F44383" w:rsidP="00F44383">
      <w:pPr>
        <w:pStyle w:val="NormalWeb"/>
        <w:spacing w:before="0" w:beforeAutospacing="0" w:after="0" w:afterAutospacing="0" w:line="480" w:lineRule="auto"/>
        <w:ind w:left="720" w:hanging="720"/>
      </w:pPr>
      <w:r>
        <w:rPr>
          <w:color w:val="000000"/>
        </w:rPr>
        <w:t xml:space="preserve">9.UNICEF. (n.d.). </w:t>
      </w:r>
      <w:r>
        <w:rPr>
          <w:i/>
          <w:iCs/>
          <w:color w:val="000000"/>
        </w:rPr>
        <w:t>Convention on the Rights of the Child</w:t>
      </w:r>
      <w:r>
        <w:rPr>
          <w:color w:val="000000"/>
        </w:rPr>
        <w:t>. https://www.unicef.org/child-rights-convention</w:t>
      </w:r>
    </w:p>
    <w:p w14:paraId="114B0A88" w14:textId="77777777" w:rsidR="00F44383" w:rsidRDefault="00F44383" w:rsidP="00F44383">
      <w:pPr>
        <w:pStyle w:val="NormalWeb"/>
        <w:spacing w:before="0" w:beforeAutospacing="0" w:after="0" w:afterAutospacing="0" w:line="480" w:lineRule="auto"/>
        <w:ind w:left="720" w:hanging="720"/>
      </w:pPr>
      <w:r>
        <w:rPr>
          <w:color w:val="000000"/>
        </w:rPr>
        <w:t xml:space="preserve">10.Williams, B., &amp; Hof, S. V. (2016). </w:t>
      </w:r>
      <w:r>
        <w:rPr>
          <w:i/>
          <w:iCs/>
          <w:color w:val="000000"/>
        </w:rPr>
        <w:t>Wicked solutions: a systems approach to complex problems: a workbook</w:t>
      </w:r>
      <w:r>
        <w:rPr>
          <w:color w:val="000000"/>
        </w:rPr>
        <w:t>. Bob Williams.</w:t>
      </w:r>
    </w:p>
    <w:p w14:paraId="06DFB862" w14:textId="77777777" w:rsidR="00F44383" w:rsidRDefault="00F44383" w:rsidP="00F44383"/>
    <w:p w14:paraId="68B37343" w14:textId="3BB89F3C" w:rsidR="00561162" w:rsidRDefault="00561162" w:rsidP="00561162"/>
    <w:sectPr w:rsidR="005611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62"/>
    <w:rsid w:val="00561162"/>
    <w:rsid w:val="00717386"/>
    <w:rsid w:val="00D71A29"/>
    <w:rsid w:val="00E72099"/>
    <w:rsid w:val="00F4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D7A08F"/>
  <w15:chartTrackingRefBased/>
  <w15:docId w15:val="{25104988-1940-E946-BC9D-7095347C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11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61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stice.gc.ca/eng/rp-pr/other-autre/article12/p3a.html" TargetMode="External"/><Relationship Id="rId5" Type="http://schemas.openxmlformats.org/officeDocument/2006/relationships/hyperlink" Target="https://doi.org/10.1093/pch/pxx127" TargetMode="External"/><Relationship Id="rId4" Type="http://schemas.openxmlformats.org/officeDocument/2006/relationships/hyperlink" Target="http://www.bccdc.ca/resource-gallery/Documents/Guidelines%20and%20Forms/Guidelines%20and%20Manuals/Epid/CD%20Manual/Chapter%202%20-%20Imms/Appendix_A_InformedCons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Shivani Nambiar</dc:creator>
  <cp:keywords/>
  <dc:description/>
  <cp:lastModifiedBy>Shivani Nambiar</cp:lastModifiedBy>
  <cp:revision>3</cp:revision>
  <dcterms:created xsi:type="dcterms:W3CDTF">2023-09-29T01:44:00Z</dcterms:created>
  <dcterms:modified xsi:type="dcterms:W3CDTF">2023-10-13T16:22:00Z</dcterms:modified>
</cp:coreProperties>
</file>